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56BFD" w14:textId="77777777" w:rsidR="007D20AC" w:rsidRDefault="007D20AC" w:rsidP="00211D24">
      <w:pPr>
        <w:jc w:val="center"/>
        <w:rPr>
          <w:b/>
          <w:sz w:val="32"/>
          <w:szCs w:val="32"/>
        </w:rPr>
      </w:pPr>
      <w:bookmarkStart w:id="0" w:name="RANGE!A1:G36"/>
    </w:p>
    <w:p w14:paraId="541EC0E8" w14:textId="6D1FA9E3" w:rsidR="00211D24" w:rsidRPr="00EB18AC" w:rsidRDefault="00211D24" w:rsidP="00211D24">
      <w:pPr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36F377D1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782E5D">
        <w:rPr>
          <w:rFonts w:ascii="Calibri" w:hAnsi="Calibri" w:cs="Calibri"/>
          <w:b/>
          <w:sz w:val="28"/>
          <w:szCs w:val="28"/>
        </w:rPr>
        <w:t>4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</w:t>
      </w:r>
      <w:r w:rsidR="007D20AC">
        <w:rPr>
          <w:rFonts w:ascii="Calibri" w:hAnsi="Calibri" w:cs="Calibri"/>
          <w:b/>
          <w:sz w:val="28"/>
          <w:szCs w:val="28"/>
        </w:rPr>
        <w:t>Operačního programu Technologie a aplikace pro konkurenceschopnost 2021-2027</w:t>
      </w:r>
    </w:p>
    <w:p w14:paraId="0BF6FEAA" w14:textId="345C2D3B" w:rsidR="007D20AC" w:rsidRDefault="00ED2126" w:rsidP="007D20AC">
      <w:pPr>
        <w:spacing w:after="36"/>
        <w:ind w:left="10" w:right="64" w:hanging="10"/>
        <w:jc w:val="center"/>
      </w:pPr>
      <w:r w:rsidRPr="00ED2126">
        <w:rPr>
          <w:b/>
          <w:szCs w:val="16"/>
        </w:rPr>
        <w:t>„</w:t>
      </w:r>
      <w:r w:rsidR="00782E5D">
        <w:rPr>
          <w:b/>
          <w:sz w:val="44"/>
        </w:rPr>
        <w:t>4</w:t>
      </w:r>
      <w:r w:rsidR="007D20AC">
        <w:rPr>
          <w:b/>
          <w:sz w:val="44"/>
        </w:rPr>
        <w:t>. výzva OP TAK – Technologie na území MAS“</w:t>
      </w:r>
      <w:r w:rsidR="007D20AC">
        <w:rPr>
          <w:b/>
          <w:sz w:val="32"/>
        </w:rPr>
        <w:t xml:space="preserve"> </w:t>
      </w:r>
    </w:p>
    <w:p w14:paraId="278E8F20" w14:textId="4B2AE435" w:rsidR="00ED2126" w:rsidRPr="00ED2126" w:rsidRDefault="007D20AC" w:rsidP="007D20AC">
      <w:pPr>
        <w:spacing w:after="36"/>
        <w:ind w:left="10" w:right="64" w:hanging="10"/>
        <w:jc w:val="center"/>
        <w:rPr>
          <w:sz w:val="16"/>
          <w:szCs w:val="16"/>
        </w:rPr>
      </w:pPr>
      <w:r w:rsidRPr="00481A2A">
        <w:rPr>
          <w:b/>
          <w:sz w:val="28"/>
          <w:szCs w:val="20"/>
        </w:rPr>
        <w:t>V</w:t>
      </w:r>
      <w:r w:rsidRPr="00481A2A">
        <w:rPr>
          <w:b/>
          <w:szCs w:val="20"/>
        </w:rPr>
        <w:t xml:space="preserve">AZBA NA VÝZVU </w:t>
      </w:r>
      <w:r w:rsidRPr="00481A2A">
        <w:rPr>
          <w:b/>
          <w:sz w:val="28"/>
          <w:szCs w:val="20"/>
        </w:rPr>
        <w:t>ŘO</w:t>
      </w:r>
      <w:r w:rsidRPr="00481A2A">
        <w:rPr>
          <w:b/>
          <w:szCs w:val="20"/>
        </w:rPr>
        <w:t xml:space="preserve"> </w:t>
      </w:r>
      <w:r w:rsidRPr="00481A2A">
        <w:rPr>
          <w:b/>
          <w:sz w:val="28"/>
          <w:szCs w:val="20"/>
        </w:rPr>
        <w:t>OP TAK:</w:t>
      </w:r>
      <w:r w:rsidRPr="00481A2A">
        <w:rPr>
          <w:b/>
          <w:szCs w:val="20"/>
        </w:rPr>
        <w:t xml:space="preserve"> </w:t>
      </w:r>
      <w:r w:rsidRPr="00481A2A">
        <w:rPr>
          <w:b/>
          <w:sz w:val="28"/>
          <w:szCs w:val="20"/>
        </w:rPr>
        <w:t>1_2</w:t>
      </w:r>
      <w:r w:rsidR="00EE2FFD">
        <w:rPr>
          <w:b/>
          <w:sz w:val="28"/>
          <w:szCs w:val="20"/>
        </w:rPr>
        <w:t>6</w:t>
      </w:r>
      <w:r w:rsidRPr="00481A2A">
        <w:rPr>
          <w:b/>
          <w:sz w:val="28"/>
          <w:szCs w:val="20"/>
        </w:rPr>
        <w:t>_0</w:t>
      </w:r>
      <w:r w:rsidR="00782E5D">
        <w:rPr>
          <w:b/>
          <w:sz w:val="28"/>
          <w:szCs w:val="20"/>
        </w:rPr>
        <w:t>8</w:t>
      </w:r>
      <w:r w:rsidRPr="00481A2A">
        <w:rPr>
          <w:b/>
          <w:sz w:val="28"/>
          <w:szCs w:val="20"/>
        </w:rPr>
        <w:t>6 Technologie pro MAS (CLLD) – výzva I</w:t>
      </w:r>
      <w:r w:rsidR="00782E5D">
        <w:rPr>
          <w:b/>
          <w:sz w:val="28"/>
          <w:szCs w:val="20"/>
        </w:rPr>
        <w:t>I</w:t>
      </w:r>
      <w:r w:rsidRPr="00481A2A">
        <w:rPr>
          <w:b/>
          <w:sz w:val="28"/>
          <w:szCs w:val="20"/>
        </w:rPr>
        <w:t>.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650791A1" w:rsidR="00211D24" w:rsidRDefault="00211D24" w:rsidP="00211D24">
      <w:pPr>
        <w:jc w:val="both"/>
      </w:pPr>
      <w:r>
        <w:t xml:space="preserve">V rámci MAS bude nejprve ze strany kanceláře MAS </w:t>
      </w:r>
      <w:r w:rsidR="00ED2126">
        <w:t>Lanškrounsko</w:t>
      </w:r>
      <w:r>
        <w:t xml:space="preserve"> provedena administrativní kontrola. Věcné hodnocení záměrů provádí Výběrová komise MAS </w:t>
      </w:r>
      <w:r w:rsidR="00ED2126">
        <w:t>Lanškrounsko</w:t>
      </w:r>
      <w:r>
        <w:t xml:space="preserve"> jakožto výběrový orgán. </w:t>
      </w:r>
      <w:r w:rsidR="00ED2126">
        <w:t>Rada</w:t>
      </w:r>
      <w:r>
        <w:t xml:space="preserve"> MAS </w:t>
      </w:r>
      <w:r w:rsidR="00ED2126">
        <w:t>Lanškrounsko</w:t>
      </w:r>
      <w:r>
        <w:t xml:space="preserve"> jakožto </w:t>
      </w:r>
      <w:r w:rsidR="00302B62">
        <w:t>r</w:t>
      </w:r>
      <w:r>
        <w:t xml:space="preserve">ozhodovací orgán vybírá záměry, kterým bude </w:t>
      </w:r>
      <w:r w:rsidRPr="00A566BE">
        <w:t xml:space="preserve">vydáno Vyjádření o souladu se SCLLD MAS </w:t>
      </w:r>
      <w:r w:rsidR="00ED2126" w:rsidRPr="00A566BE">
        <w:t>Lanškrounsko</w:t>
      </w:r>
      <w:r w:rsidRPr="00A566BE">
        <w:t>. Toto vyjádření je povinnou součástí žádosti o podporu, kterou nositelé</w:t>
      </w:r>
      <w:r>
        <w:t xml:space="preserve"> vybraných záměrů následně zpracují v MS21+.</w:t>
      </w:r>
    </w:p>
    <w:p w14:paraId="7A5EAD6D" w14:textId="1BE9A4F0" w:rsidR="00211D24" w:rsidRDefault="00211D24" w:rsidP="007D20AC">
      <w:pPr>
        <w:ind w:left="12"/>
      </w:pPr>
      <w:r>
        <w:t xml:space="preserve">Postup hodnocení záměrů je uveden </w:t>
      </w:r>
      <w:r w:rsidR="00ED2126">
        <w:t xml:space="preserve">v „Interních postupech </w:t>
      </w:r>
      <w:r w:rsidR="007D20AC">
        <w:t>OP TAK</w:t>
      </w:r>
      <w:r w:rsidR="00ED2126">
        <w:t xml:space="preserve"> MAS Lanškrounsko“. Dokument</w:t>
      </w:r>
      <w:r>
        <w:t xml:space="preserve"> je zveřejněn na:  </w:t>
      </w:r>
      <w:hyperlink r:id="rId10" w:history="1">
        <w:r w:rsidR="007D20AC">
          <w:rPr>
            <w:rStyle w:val="Hypertextovodkaz"/>
          </w:rPr>
          <w:t xml:space="preserve">MAS Lanškrounsko, z.s. </w:t>
        </w:r>
        <w:proofErr w:type="gramStart"/>
        <w:r w:rsidR="007D20AC">
          <w:rPr>
            <w:rStyle w:val="Hypertextovodkaz"/>
          </w:rPr>
          <w:t>» Technologie</w:t>
        </w:r>
        <w:proofErr w:type="gramEnd"/>
        <w:r w:rsidR="007D20AC">
          <w:rPr>
            <w:rStyle w:val="Hypertextovodkaz"/>
          </w:rPr>
          <w:t xml:space="preserve"> a aplikace pro konkurenceschopnost (maslanskrounsko.cz)</w:t>
        </w:r>
      </w:hyperlink>
    </w:p>
    <w:p w14:paraId="7A0D1AD6" w14:textId="14AC9239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7D20AC">
        <w:t>1_2</w:t>
      </w:r>
      <w:r w:rsidR="00EE2FFD">
        <w:t>6</w:t>
      </w:r>
      <w:r w:rsidR="007D20AC">
        <w:t>_0</w:t>
      </w:r>
      <w:r w:rsidR="00782E5D">
        <w:t>8</w:t>
      </w:r>
      <w:r w:rsidR="007D20AC">
        <w:t>6</w:t>
      </w:r>
      <w:r>
        <w:t xml:space="preserve">, a to prostřednictvím MS21+. Hodnocení žádostí o podporu je v kompetenci </w:t>
      </w:r>
      <w:r w:rsidR="007D20AC">
        <w:t>ŘO OP TAK.</w:t>
      </w:r>
    </w:p>
    <w:p w14:paraId="7CD82269" w14:textId="2BFCF117" w:rsidR="00211D24" w:rsidRDefault="00211D24" w:rsidP="00211D24">
      <w:pPr>
        <w:jc w:val="both"/>
      </w:pPr>
      <w:r>
        <w:t xml:space="preserve">Věcná způsobilost je definována v Obecných a </w:t>
      </w:r>
      <w:r w:rsidR="007D20AC">
        <w:t>zvláštních</w:t>
      </w:r>
      <w:r>
        <w:t xml:space="preserve"> pravidlech pro žadatele a příjemce výzvy č. </w:t>
      </w:r>
      <w:r w:rsidR="007D20AC">
        <w:t>1_2</w:t>
      </w:r>
      <w:r w:rsidR="00EE2FFD">
        <w:t>6</w:t>
      </w:r>
      <w:r w:rsidR="007D20AC">
        <w:t>_0</w:t>
      </w:r>
      <w:r w:rsidR="00782E5D">
        <w:t>8</w:t>
      </w:r>
      <w:r w:rsidR="007D20AC">
        <w:t>6</w:t>
      </w:r>
      <w:r>
        <w:t xml:space="preserve"> (vždy v aktuálním znění).</w:t>
      </w:r>
    </w:p>
    <w:p w14:paraId="2C5650A1" w14:textId="2D159599" w:rsidR="00211D24" w:rsidRDefault="00211D24" w:rsidP="00211D24">
      <w:pPr>
        <w:jc w:val="both"/>
      </w:pPr>
      <w:r w:rsidRPr="00622671">
        <w:t xml:space="preserve">Obecná a </w:t>
      </w:r>
      <w:r w:rsidR="007D20AC">
        <w:t>Zvláštní</w:t>
      </w:r>
      <w:r w:rsidRPr="00622671">
        <w:t xml:space="preserve"> pravidla pro žadatele pro výzvu ŘO </w:t>
      </w:r>
      <w:r w:rsidR="007D20AC">
        <w:t xml:space="preserve">OP TAK jsou uvedena na: </w:t>
      </w:r>
    </w:p>
    <w:p w14:paraId="13112BAD" w14:textId="48B46080" w:rsidR="00211D24" w:rsidRDefault="00915B6F" w:rsidP="00211D24">
      <w:pPr>
        <w:jc w:val="both"/>
      </w:pPr>
      <w:hyperlink r:id="rId11" w:history="1">
        <w:r w:rsidR="00782E5D">
          <w:rPr>
            <w:rStyle w:val="Hypertextovodkaz"/>
          </w:rPr>
          <w:t>Technologie pro MAS (CLLD) – výzva II. | OP TAK</w:t>
        </w:r>
      </w:hyperlink>
    </w:p>
    <w:p w14:paraId="3E751EF6" w14:textId="77777777" w:rsidR="00F0432E" w:rsidRDefault="00F0432E" w:rsidP="00211D24">
      <w:pPr>
        <w:jc w:val="both"/>
        <w:rPr>
          <w:rStyle w:val="Hypertextovodkaz"/>
          <w:rFonts w:cstheme="minorHAnsi"/>
        </w:rPr>
      </w:pPr>
    </w:p>
    <w:p w14:paraId="61AB2375" w14:textId="77777777" w:rsidR="003666F0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jednající jménem žadatele (nebo osob zmocněných na základě plné moci) a relevantní přílohy je nutné zaslat </w:t>
      </w:r>
      <w:r w:rsidR="003700F4">
        <w:t>pomocí datové schránky</w:t>
      </w:r>
      <w:r>
        <w:t xml:space="preserve">: </w:t>
      </w:r>
      <w:r w:rsidR="003700F4">
        <w:t xml:space="preserve"> </w:t>
      </w:r>
    </w:p>
    <w:p w14:paraId="75E327E7" w14:textId="00F2120D" w:rsidR="00211D24" w:rsidRDefault="003700F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ID </w:t>
      </w:r>
      <w:r>
        <w:rPr>
          <w:rFonts w:ascii="Ruda" w:hAnsi="Ruda"/>
          <w:color w:val="000000"/>
          <w:shd w:val="clear" w:color="auto" w:fill="FFFFFF"/>
        </w:rPr>
        <w:t>4st4ajp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78402F0F" w14:textId="77777777" w:rsidR="003E3109" w:rsidRDefault="003E3109">
      <w:pPr>
        <w:rPr>
          <w:b/>
          <w:bCs/>
          <w:sz w:val="28"/>
          <w:szCs w:val="28"/>
        </w:rPr>
      </w:pPr>
    </w:p>
    <w:p w14:paraId="6187B67B" w14:textId="6FD27785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E0852B5" w:rsidR="006E6251" w:rsidRPr="00331076" w:rsidRDefault="00ED212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Místní akční skupina Lanškrounsko, z. s. 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1951DD7D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</w:t>
            </w:r>
            <w:r w:rsidR="00056B0C">
              <w:rPr>
                <w:rFonts w:cs="Arial"/>
                <w:sz w:val="20"/>
                <w:szCs w:val="20"/>
              </w:rPr>
              <w:t>PR OP</w:t>
            </w:r>
            <w:r w:rsidRPr="00331076">
              <w:rPr>
                <w:rFonts w:cs="Arial"/>
                <w:sz w:val="20"/>
                <w:szCs w:val="20"/>
              </w:rPr>
              <w:t xml:space="preserve"> </w:t>
            </w:r>
            <w:r w:rsidR="00056B0C">
              <w:rPr>
                <w:rFonts w:cs="Arial"/>
                <w:sz w:val="20"/>
                <w:szCs w:val="20"/>
              </w:rPr>
              <w:t>TAK</w:t>
            </w:r>
            <w:r w:rsidRPr="00331076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24B57850" w:rsidR="006E6251" w:rsidRPr="00ED2126" w:rsidRDefault="002B1006" w:rsidP="00ED212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Technologie pro MAS (CLLD)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0C69BF8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2B1006">
              <w:rPr>
                <w:rFonts w:cs="Arial"/>
                <w:sz w:val="20"/>
                <w:szCs w:val="20"/>
              </w:rPr>
              <w:t xml:space="preserve"> OP TAK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0368AB6C" w:rsidR="006E6251" w:rsidRPr="00331076" w:rsidRDefault="002B100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1_23_0</w:t>
            </w:r>
            <w:r w:rsidR="00782E5D">
              <w:rPr>
                <w:rFonts w:cs="Arial"/>
                <w:bCs/>
                <w:sz w:val="20"/>
                <w:szCs w:val="20"/>
              </w:rPr>
              <w:t>8</w:t>
            </w:r>
            <w:r>
              <w:rPr>
                <w:rFonts w:cs="Arial"/>
                <w:bCs/>
                <w:sz w:val="20"/>
                <w:szCs w:val="20"/>
              </w:rPr>
              <w:t>6 Technologie pro MAS (CLLD) – výzva I</w:t>
            </w:r>
            <w:r w:rsidR="00AB5CA2">
              <w:rPr>
                <w:rFonts w:cs="Arial"/>
                <w:bCs/>
                <w:sz w:val="20"/>
                <w:szCs w:val="20"/>
              </w:rPr>
              <w:t>I</w:t>
            </w:r>
            <w:r>
              <w:rPr>
                <w:rFonts w:cs="Arial"/>
                <w:bCs/>
                <w:sz w:val="20"/>
                <w:szCs w:val="20"/>
              </w:rPr>
              <w:t>.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46579806" w:rsidR="006E6251" w:rsidRPr="002B1006" w:rsidRDefault="00AB5CA2" w:rsidP="002B1006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</w:t>
            </w:r>
            <w:r w:rsidR="002B1006">
              <w:rPr>
                <w:rFonts w:cs="Arial"/>
                <w:bCs/>
                <w:sz w:val="20"/>
                <w:szCs w:val="20"/>
              </w:rPr>
              <w:t>.</w:t>
            </w:r>
            <w:r w:rsidR="002B1006" w:rsidRPr="002B1006">
              <w:rPr>
                <w:rFonts w:cs="Arial"/>
                <w:bCs/>
                <w:sz w:val="20"/>
                <w:szCs w:val="20"/>
              </w:rPr>
              <w:t>Výzva OP TAK – Technologie na území MAS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E3109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11C6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CB8746" w14:textId="45AA9F16" w:rsidR="002B1006" w:rsidRDefault="00991E7D" w:rsidP="002B1006">
            <w:pPr>
              <w:ind w:left="12"/>
              <w:rPr>
                <w:bCs/>
              </w:rPr>
            </w:pPr>
            <w:r w:rsidRPr="003700F4">
              <w:rPr>
                <w:color w:val="FF0000"/>
                <w:sz w:val="20"/>
                <w:szCs w:val="20"/>
              </w:rPr>
              <w:t>Stručně popište Váš projekt a podporované aktivity. Aktivity musí být v souladu s</w:t>
            </w:r>
            <w:r w:rsidR="002B1006">
              <w:rPr>
                <w:color w:val="FF0000"/>
                <w:sz w:val="20"/>
                <w:szCs w:val="20"/>
              </w:rPr>
              <w:t> 1_23_0</w:t>
            </w:r>
            <w:r w:rsidR="00AB5CA2">
              <w:rPr>
                <w:color w:val="FF0000"/>
                <w:sz w:val="20"/>
                <w:szCs w:val="20"/>
              </w:rPr>
              <w:t>8</w:t>
            </w:r>
            <w:r w:rsidR="002B1006">
              <w:rPr>
                <w:color w:val="FF0000"/>
                <w:sz w:val="20"/>
                <w:szCs w:val="20"/>
              </w:rPr>
              <w:t xml:space="preserve">6 Technologie pro MAS </w:t>
            </w:r>
            <w:r w:rsidRPr="003700F4">
              <w:rPr>
                <w:color w:val="FF0000"/>
                <w:sz w:val="20"/>
                <w:szCs w:val="20"/>
              </w:rPr>
              <w:t>a pravidly této výzvy</w:t>
            </w:r>
            <w:r w:rsidR="002B1006">
              <w:rPr>
                <w:color w:val="FF0000"/>
                <w:sz w:val="20"/>
                <w:szCs w:val="20"/>
              </w:rPr>
              <w:t xml:space="preserve"> (zvláštní část)</w:t>
            </w:r>
            <w:r w:rsidRPr="003700F4">
              <w:rPr>
                <w:color w:val="FF0000"/>
                <w:sz w:val="20"/>
                <w:szCs w:val="20"/>
              </w:rPr>
              <w:t xml:space="preserve">. </w:t>
            </w:r>
            <w:r w:rsidR="004D7A8D" w:rsidRPr="003700F4">
              <w:rPr>
                <w:color w:val="FF0000"/>
                <w:sz w:val="20"/>
                <w:szCs w:val="20"/>
              </w:rPr>
              <w:t xml:space="preserve">V této výzvě MAS je podporována </w:t>
            </w:r>
            <w:r w:rsidR="002B1006" w:rsidRPr="002B1006">
              <w:rPr>
                <w:bCs/>
                <w:color w:val="FF0000"/>
                <w:sz w:val="20"/>
                <w:szCs w:val="20"/>
              </w:rPr>
              <w:t xml:space="preserve">Pořízení nových technologických zařízení a vybavení vč. potřebné infrastruktury, dále pořízení výrobních strojů a zařízení, které nejen zvýší technologickou úroveň MSP a jejich konkurenceschopnost, ale také digitalizaci a automatizaci výroby a zefektivní poskytování služeb nebo vytvoří podmínky pro jejich zavedení. </w:t>
            </w:r>
          </w:p>
          <w:p w14:paraId="674001F1" w14:textId="59116DCE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D04A00A" w:rsidR="00991E7D" w:rsidRPr="003700F4" w:rsidRDefault="00425488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Stručně </w:t>
            </w:r>
            <w:r w:rsidR="00991E7D" w:rsidRPr="003700F4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3700F4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popište stávající stav</w:t>
            </w: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4C0F39AC" w14:textId="77777777" w:rsidR="003E3109" w:rsidRDefault="003E3109" w:rsidP="00991E7D">
            <w:pPr>
              <w:rPr>
                <w:color w:val="FF0000"/>
                <w:sz w:val="20"/>
                <w:szCs w:val="20"/>
              </w:rPr>
            </w:pPr>
          </w:p>
          <w:p w14:paraId="6E2F6AE8" w14:textId="3BEA6218" w:rsidR="00F0432E" w:rsidRPr="00586900" w:rsidRDefault="00F0432E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6B0C0F4B" w:rsidR="005D7A9B" w:rsidRPr="00ED5CC1" w:rsidRDefault="00ED5CC1" w:rsidP="00991E7D">
            <w:pPr>
              <w:rPr>
                <w:b/>
                <w:bCs/>
              </w:rPr>
            </w:pPr>
            <w:r w:rsidRPr="00ED5CC1">
              <w:rPr>
                <w:b/>
                <w:bCs/>
              </w:rPr>
              <w:lastRenderedPageBreak/>
              <w:t>Ekonomická činnost žadatele</w:t>
            </w:r>
          </w:p>
        </w:tc>
      </w:tr>
      <w:tr w:rsidR="005D7A9B" w:rsidRPr="00586900" w14:paraId="5075A75A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18A58944" w:rsidR="005D7A9B" w:rsidRPr="005D7A9B" w:rsidRDefault="00ED5CC1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CZ-NACE, ve kterém je realizován Váš projekt a který zároveň koresponduje s evidovanou činností ve veřejných rejstřících. </w:t>
            </w:r>
          </w:p>
          <w:p w14:paraId="7BDFB6D3" w14:textId="1DB3DFF9" w:rsidR="005D7A9B" w:rsidRPr="00586900" w:rsidRDefault="005D7A9B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A566BE" w:rsidRPr="00586900" w14:paraId="309A0990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287D8EF" w14:textId="50478D99" w:rsidR="00A566BE" w:rsidRPr="00A566BE" w:rsidRDefault="00A566BE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A566BE">
              <w:rPr>
                <w:b/>
                <w:bCs/>
              </w:rPr>
              <w:t>Kategorie podniku</w:t>
            </w:r>
          </w:p>
        </w:tc>
      </w:tr>
      <w:tr w:rsidR="00A566BE" w:rsidRPr="00586900" w14:paraId="27634FF5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E1A1C4" w14:textId="77777777" w:rsidR="00A566BE" w:rsidRDefault="00A566BE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prosím kategorii podniku – malý/střední.</w:t>
            </w:r>
          </w:p>
          <w:p w14:paraId="13DD2F11" w14:textId="666D8C65" w:rsidR="00A566BE" w:rsidRDefault="00A566BE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0AE6DC3C" w:rsidR="00991E7D" w:rsidRPr="00586900" w:rsidRDefault="00914852" w:rsidP="00755FF3">
            <w:pPr>
              <w:rPr>
                <w:b/>
              </w:rPr>
            </w:pPr>
            <w:r>
              <w:rPr>
                <w:b/>
              </w:rPr>
              <w:t>Přínos a p</w:t>
            </w:r>
            <w:r w:rsidR="00991E7D" w:rsidRPr="00586900">
              <w:rPr>
                <w:b/>
              </w:rPr>
              <w:t>řipravenost projektu:</w:t>
            </w:r>
          </w:p>
        </w:tc>
      </w:tr>
      <w:tr w:rsidR="00991E7D" w:rsidRPr="00586900" w14:paraId="0F6AE7B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A4F35F" w14:textId="77777777" w:rsidR="00914852" w:rsidRDefault="00914852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Stručně uveďte, případně vyčíslete, jaký bude mít projekt přínos pro Váš podnik. </w:t>
            </w:r>
          </w:p>
          <w:p w14:paraId="4EBAD2EA" w14:textId="77777777" w:rsidR="00914852" w:rsidRDefault="00914852" w:rsidP="00991E7D">
            <w:pPr>
              <w:rPr>
                <w:color w:val="FF0000"/>
                <w:sz w:val="20"/>
                <w:szCs w:val="20"/>
              </w:rPr>
            </w:pPr>
          </w:p>
          <w:p w14:paraId="7A263F47" w14:textId="7C90C726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</w:t>
            </w:r>
            <w:r w:rsidR="00914852">
              <w:rPr>
                <w:color w:val="FF0000"/>
                <w:sz w:val="20"/>
                <w:szCs w:val="20"/>
              </w:rPr>
              <w:t xml:space="preserve">podnikatelský záměr, průzkum trhu, studie </w:t>
            </w:r>
            <w:proofErr w:type="gramStart"/>
            <w:r w:rsidR="00914852">
              <w:rPr>
                <w:color w:val="FF0000"/>
                <w:sz w:val="20"/>
                <w:szCs w:val="20"/>
              </w:rPr>
              <w:t>potřebnosti,</w:t>
            </w:r>
            <w:proofErr w:type="gramEnd"/>
            <w:r w:rsidR="00914852">
              <w:rPr>
                <w:color w:val="FF0000"/>
                <w:sz w:val="20"/>
                <w:szCs w:val="20"/>
              </w:rPr>
              <w:t xml:space="preserve"> apod. </w:t>
            </w:r>
          </w:p>
          <w:p w14:paraId="1B744BBA" w14:textId="557C6BFC" w:rsidR="00991E7D" w:rsidRDefault="00991E7D" w:rsidP="00991E7D">
            <w:pPr>
              <w:rPr>
                <w:sz w:val="20"/>
                <w:szCs w:val="20"/>
              </w:rPr>
            </w:pPr>
          </w:p>
          <w:p w14:paraId="21477FE9" w14:textId="77777777" w:rsidR="00425488" w:rsidRPr="00586900" w:rsidRDefault="00425488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B114C0" w:rsidRPr="00586900" w14:paraId="04D2CA4A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B7078AF" w14:textId="2B299D1E" w:rsidR="00B114C0" w:rsidRPr="00B114C0" w:rsidRDefault="00B114C0" w:rsidP="00991E7D">
            <w:pPr>
              <w:rPr>
                <w:b/>
                <w:bCs/>
              </w:rPr>
            </w:pPr>
            <w:r w:rsidRPr="00B114C0">
              <w:rPr>
                <w:b/>
                <w:bCs/>
              </w:rPr>
              <w:t>Rozšíření stávajících podnikatelských aktivit</w:t>
            </w:r>
          </w:p>
        </w:tc>
      </w:tr>
      <w:tr w:rsidR="00B114C0" w:rsidRPr="00586900" w14:paraId="449999B7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470282" w14:textId="54AAD308" w:rsidR="00B114C0" w:rsidRDefault="00B114C0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Stručně popište, zda výsledkem projektu bude rozšíření portfolia služeb a produktů na základě pořízení nových strojů, zařízení, technologií, stavebních úprav. </w:t>
            </w:r>
          </w:p>
          <w:p w14:paraId="489B7CE0" w14:textId="77777777" w:rsidR="00B114C0" w:rsidRDefault="00B114C0" w:rsidP="00991E7D">
            <w:pPr>
              <w:rPr>
                <w:color w:val="FF0000"/>
                <w:sz w:val="20"/>
                <w:szCs w:val="20"/>
              </w:rPr>
            </w:pPr>
          </w:p>
          <w:p w14:paraId="660E1071" w14:textId="7FADC1C6" w:rsidR="00B114C0" w:rsidRDefault="00B114C0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výsledkem nebude rozšíření portfolia, pak uveďte tuto informaci jako nerelevantní. </w:t>
            </w:r>
          </w:p>
        </w:tc>
      </w:tr>
      <w:tr w:rsidR="00991E7D" w:rsidRPr="00586900" w14:paraId="6E5B40A6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06F264FF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 přibližně měsíc. Uvažujte, že vyjádření o souladu záměru se SCLLD MAS</w:t>
            </w:r>
            <w:r w:rsidR="00ED2126">
              <w:rPr>
                <w:color w:val="FF0000"/>
                <w:sz w:val="20"/>
                <w:szCs w:val="20"/>
              </w:rPr>
              <w:t xml:space="preserve"> Lanškrounsko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1CE9ED8B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 xml:space="preserve">. Realizace projektu </w:t>
            </w:r>
            <w:r w:rsidR="00B114C0">
              <w:rPr>
                <w:color w:val="FF0000"/>
                <w:sz w:val="20"/>
                <w:szCs w:val="20"/>
              </w:rPr>
              <w:t>nesmí</w:t>
            </w:r>
            <w:r w:rsidRPr="00586900">
              <w:rPr>
                <w:color w:val="FF0000"/>
                <w:sz w:val="20"/>
                <w:szCs w:val="20"/>
              </w:rPr>
              <w:t xml:space="preserve">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</w:t>
            </w:r>
            <w:r w:rsidR="00B114C0">
              <w:rPr>
                <w:color w:val="FF0000"/>
                <w:sz w:val="20"/>
                <w:szCs w:val="20"/>
              </w:rPr>
              <w:t xml:space="preserve"> do MS21+.</w:t>
            </w:r>
          </w:p>
        </w:tc>
      </w:tr>
      <w:tr w:rsidR="00991E7D" w:rsidRPr="00586900" w14:paraId="194DEBD8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670F5FF0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 xml:space="preserve">. Realizace projektu nesmí být </w:t>
            </w:r>
            <w:r w:rsidR="00B114C0">
              <w:rPr>
                <w:color w:val="FF0000"/>
                <w:sz w:val="20"/>
                <w:szCs w:val="20"/>
              </w:rPr>
              <w:t>zahájena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 (plné žádosti o podporu do MS21+).</w:t>
            </w:r>
          </w:p>
        </w:tc>
      </w:tr>
      <w:tr w:rsidR="00991E7D" w:rsidRPr="00586900" w14:paraId="64586A5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50FEC556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 xml:space="preserve">Dotace je </w:t>
            </w:r>
            <w:r w:rsidR="00B114C0">
              <w:rPr>
                <w:rFonts w:cs="Arial"/>
                <w:color w:val="FF0000"/>
                <w:szCs w:val="20"/>
              </w:rPr>
              <w:t>50</w:t>
            </w:r>
            <w:r>
              <w:rPr>
                <w:rFonts w:cs="Arial"/>
                <w:color w:val="FF0000"/>
                <w:szCs w:val="20"/>
              </w:rPr>
              <w:t xml:space="preserve">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307B54FD" w14:textId="77777777" w:rsidR="00FE4BDD" w:rsidRDefault="00FE4BDD" w:rsidP="00991E7D">
      <w:pPr>
        <w:rPr>
          <w:b/>
        </w:rPr>
      </w:pPr>
    </w:p>
    <w:p w14:paraId="721D428E" w14:textId="77777777" w:rsidR="00E16183" w:rsidRDefault="00E16183" w:rsidP="00991E7D">
      <w:pPr>
        <w:rPr>
          <w:b/>
        </w:rPr>
      </w:pPr>
    </w:p>
    <w:p w14:paraId="79AE643C" w14:textId="77777777" w:rsidR="00E16183" w:rsidRDefault="00E16183" w:rsidP="00991E7D">
      <w:pPr>
        <w:rPr>
          <w:b/>
        </w:rPr>
      </w:pPr>
    </w:p>
    <w:p w14:paraId="1C3F3329" w14:textId="77777777" w:rsidR="00E16183" w:rsidRDefault="00E16183" w:rsidP="00991E7D">
      <w:pPr>
        <w:rPr>
          <w:b/>
        </w:rPr>
      </w:pPr>
    </w:p>
    <w:p w14:paraId="212CA6F8" w14:textId="77777777" w:rsidR="00E16183" w:rsidRDefault="00E16183" w:rsidP="00991E7D">
      <w:pPr>
        <w:rPr>
          <w:b/>
        </w:rPr>
      </w:pPr>
    </w:p>
    <w:p w14:paraId="6670A990" w14:textId="77777777" w:rsidR="00E16183" w:rsidRDefault="00E16183" w:rsidP="00991E7D">
      <w:pPr>
        <w:rPr>
          <w:b/>
        </w:rPr>
      </w:pPr>
    </w:p>
    <w:p w14:paraId="1ACA049A" w14:textId="2289C783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E16183" w:rsidRPr="00D62762" w14:paraId="2BD5BAC9" w14:textId="77777777" w:rsidTr="00E16183">
        <w:trPr>
          <w:trHeight w:val="229"/>
          <w:jc w:val="center"/>
        </w:trPr>
        <w:tc>
          <w:tcPr>
            <w:tcW w:w="9012" w:type="dxa"/>
            <w:gridSpan w:val="5"/>
            <w:shd w:val="clear" w:color="auto" w:fill="auto"/>
            <w:vAlign w:val="center"/>
          </w:tcPr>
          <w:p w14:paraId="7B19E792" w14:textId="3380489C" w:rsidR="00E16183" w:rsidRPr="00E16183" w:rsidRDefault="00E16183" w:rsidP="00755FF3">
            <w:pPr>
              <w:spacing w:after="0" w:line="240" w:lineRule="auto"/>
              <w:jc w:val="center"/>
              <w:rPr>
                <w:rFonts w:cs="Arial"/>
                <w:sz w:val="20"/>
                <w:szCs w:val="18"/>
              </w:rPr>
            </w:pPr>
            <w:r w:rsidRPr="00E16183">
              <w:rPr>
                <w:rFonts w:cs="Arial"/>
                <w:sz w:val="20"/>
                <w:szCs w:val="18"/>
              </w:rPr>
              <w:t>Indikátory povinné k naplnění – závazné se stanovenou cílovou hodnotou</w:t>
            </w:r>
          </w:p>
        </w:tc>
      </w:tr>
      <w:tr w:rsidR="00991E7D" w:rsidRPr="001C1F58" w14:paraId="76199121" w14:textId="77777777" w:rsidTr="00FE4BD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797C64F9" w:rsidR="00991E7D" w:rsidRPr="001C1F58" w:rsidRDefault="00E16183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243 010</w:t>
            </w:r>
            <w:r w:rsidR="00AF5425">
              <w:rPr>
                <w:rFonts w:cs="Arial"/>
                <w:b/>
                <w:szCs w:val="20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2064CCF5" w:rsidR="00991E7D" w:rsidRPr="00E16183" w:rsidRDefault="00E16183" w:rsidP="00755FF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Počet instalovaných technologií (stroje a zařízení) v rámci projektu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765804F" w14:textId="4590162D" w:rsidR="00991E7D" w:rsidRPr="00E16183" w:rsidRDefault="00E16183" w:rsidP="00755FF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F81530" w14:textId="507932DD" w:rsidR="00991E7D" w:rsidRPr="00E16183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</w:rPr>
            </w:pPr>
            <w:r w:rsidRPr="00E16183">
              <w:rPr>
                <w:rFonts w:cs="Arial"/>
                <w:bCs/>
              </w:rPr>
              <w:t> </w:t>
            </w:r>
            <w:r w:rsidR="00586900" w:rsidRPr="00E16183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51BF02" w14:textId="45C94A3C" w:rsidR="00991E7D" w:rsidRPr="00E16183" w:rsidRDefault="00586900" w:rsidP="00755FF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E16183">
              <w:rPr>
                <w:rFonts w:cs="Arial"/>
                <w:bCs/>
                <w:color w:val="FF0000"/>
              </w:rPr>
              <w:t>doplňte</w:t>
            </w:r>
          </w:p>
        </w:tc>
      </w:tr>
      <w:tr w:rsidR="00E16183" w:rsidRPr="001C1F58" w14:paraId="569F8166" w14:textId="77777777" w:rsidTr="002B49B0">
        <w:trPr>
          <w:trHeight w:val="255"/>
          <w:jc w:val="center"/>
        </w:trPr>
        <w:tc>
          <w:tcPr>
            <w:tcW w:w="9012" w:type="dxa"/>
            <w:gridSpan w:val="5"/>
            <w:shd w:val="clear" w:color="auto" w:fill="auto"/>
            <w:noWrap/>
            <w:vAlign w:val="center"/>
          </w:tcPr>
          <w:p w14:paraId="78FE80C8" w14:textId="1161E5D7" w:rsidR="00E16183" w:rsidRPr="00A566BE" w:rsidRDefault="00E16183" w:rsidP="00E16183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</w:rPr>
            </w:pPr>
            <w:r w:rsidRPr="00A566BE">
              <w:rPr>
                <w:rFonts w:cs="Arial"/>
                <w:bCs/>
                <w:sz w:val="20"/>
                <w:szCs w:val="20"/>
              </w:rPr>
              <w:t>Indikátory povinné k výběru – monitorovací bez stanovené cílové hodnoty</w:t>
            </w:r>
          </w:p>
        </w:tc>
      </w:tr>
      <w:tr w:rsidR="00991E7D" w:rsidRPr="001C1F58" w14:paraId="0E3CEE61" w14:textId="77777777" w:rsidTr="00FE4BD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16B382F4" w:rsidR="00991E7D" w:rsidRPr="001C1F58" w:rsidRDefault="00E16183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107 002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2193A634" w:rsidR="00991E7D" w:rsidRPr="00E16183" w:rsidRDefault="00E16183" w:rsidP="00755FF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Přidaná hodnota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09145C0C" w:rsidR="00991E7D" w:rsidRPr="00E16183" w:rsidRDefault="00E16183" w:rsidP="00755FF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tis. Kč/rok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E2573C" w14:textId="5631BEF4" w:rsidR="00991E7D" w:rsidRPr="00E16183" w:rsidRDefault="00991E7D" w:rsidP="00755FF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 </w:t>
            </w:r>
            <w:r w:rsidR="00586900" w:rsidRPr="00E16183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3981FF" w14:textId="4D778AB4" w:rsidR="00991E7D" w:rsidRPr="00E16183" w:rsidRDefault="00586900" w:rsidP="00755FF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E16183">
              <w:rPr>
                <w:rFonts w:cs="Arial"/>
                <w:bCs/>
                <w:color w:val="FF0000"/>
              </w:rPr>
              <w:t>doplňte</w:t>
            </w:r>
          </w:p>
        </w:tc>
      </w:tr>
      <w:tr w:rsidR="00E16183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1CD609EE" w:rsidR="00E16183" w:rsidRPr="001C1F58" w:rsidRDefault="00E16183" w:rsidP="00E1618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107 031 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10F7C721" w:rsidR="00E16183" w:rsidRPr="00E16183" w:rsidRDefault="00E16183" w:rsidP="00E1618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Podniky s vyšším obratem</w:t>
            </w:r>
          </w:p>
          <w:p w14:paraId="4ABEDA30" w14:textId="5A47E2E3" w:rsidR="00E16183" w:rsidRPr="00E16183" w:rsidRDefault="00E16183" w:rsidP="00E16183">
            <w:pPr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5489C54" w:rsidR="00E16183" w:rsidRPr="00E16183" w:rsidRDefault="00E16183" w:rsidP="00E1618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Podniky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20AC5EAC" w:rsidR="00E16183" w:rsidRPr="00E16183" w:rsidRDefault="00E16183" w:rsidP="00E1618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 </w:t>
            </w:r>
            <w:r w:rsidRPr="00E16183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0FB89DA4" w:rsidR="00E16183" w:rsidRPr="00E16183" w:rsidRDefault="00E16183" w:rsidP="00E1618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E16183">
              <w:rPr>
                <w:rFonts w:cs="Arial"/>
                <w:bCs/>
                <w:color w:val="FF0000"/>
              </w:rPr>
              <w:t>doplňte</w:t>
            </w:r>
          </w:p>
        </w:tc>
      </w:tr>
      <w:tr w:rsidR="00E16183" w:rsidRPr="001C1F58" w14:paraId="0FF36DD1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BBE3CB5" w14:textId="3878B3C6" w:rsidR="00E16183" w:rsidRPr="001C1F58" w:rsidRDefault="00E16183" w:rsidP="00E1618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107 501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C2BBA6F" w14:textId="402496B6" w:rsidR="00E16183" w:rsidRPr="00E16183" w:rsidRDefault="00E16183" w:rsidP="00E1618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Obrat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49BDD2A" w14:textId="37048F9B" w:rsidR="00E16183" w:rsidRPr="00E16183" w:rsidRDefault="00E16183" w:rsidP="00E1618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tis. Kč/rok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A804782" w14:textId="3884560D" w:rsidR="00E16183" w:rsidRPr="00E16183" w:rsidRDefault="00E16183" w:rsidP="00E1618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 </w:t>
            </w:r>
            <w:r w:rsidRPr="00E16183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644295B" w14:textId="47E5F069" w:rsidR="00E16183" w:rsidRPr="00E16183" w:rsidRDefault="00E16183" w:rsidP="00E1618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E16183">
              <w:rPr>
                <w:rFonts w:cs="Arial"/>
                <w:bCs/>
                <w:color w:val="FF0000"/>
              </w:rPr>
              <w:t>doplňte</w:t>
            </w:r>
          </w:p>
        </w:tc>
      </w:tr>
      <w:tr w:rsidR="00E16183" w:rsidRPr="001C1F58" w14:paraId="228FCBBC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6DA5D77" w14:textId="294E1772" w:rsidR="00E16183" w:rsidRPr="001C1F58" w:rsidRDefault="00E16183" w:rsidP="00E1618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101 022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2406D95" w14:textId="024F68F1" w:rsidR="00E16183" w:rsidRPr="00E16183" w:rsidRDefault="00E16183" w:rsidP="00E1618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Podniky podpořené granty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CB8AE52" w14:textId="28523046" w:rsidR="00E16183" w:rsidRPr="00E16183" w:rsidRDefault="00E16183" w:rsidP="00E1618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Podniky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4043450" w14:textId="5B44D51E" w:rsidR="00E16183" w:rsidRPr="00E16183" w:rsidRDefault="00E16183" w:rsidP="00E16183">
            <w:pPr>
              <w:spacing w:after="0" w:line="240" w:lineRule="auto"/>
              <w:rPr>
                <w:rFonts w:cs="Arial"/>
                <w:bCs/>
              </w:rPr>
            </w:pPr>
            <w:r w:rsidRPr="00E16183">
              <w:rPr>
                <w:rFonts w:cs="Arial"/>
                <w:bCs/>
              </w:rPr>
              <w:t> </w:t>
            </w:r>
            <w:r w:rsidRPr="00E16183">
              <w:rPr>
                <w:rFonts w:cs="Arial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057C790" w14:textId="7AB0CC17" w:rsidR="00E16183" w:rsidRPr="00E16183" w:rsidRDefault="00E16183" w:rsidP="00E16183">
            <w:pPr>
              <w:spacing w:after="0" w:line="240" w:lineRule="auto"/>
              <w:rPr>
                <w:rFonts w:cs="Arial"/>
                <w:b/>
                <w:u w:val="single"/>
              </w:rPr>
            </w:pPr>
            <w:r w:rsidRPr="00E16183">
              <w:rPr>
                <w:rFonts w:cs="Arial"/>
                <w:bCs/>
                <w:color w:val="FF0000"/>
              </w:rPr>
              <w:t>doplňte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A77211" w:rsidRDefault="00586900" w:rsidP="00755FF3">
            <w:r w:rsidRPr="00A77211"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218A487" w:rsidR="00991E7D" w:rsidRPr="00A77211" w:rsidRDefault="00A566BE" w:rsidP="00755FF3">
            <w:pPr>
              <w:rPr>
                <w:color w:val="FF0000"/>
              </w:rPr>
            </w:pPr>
            <w:r>
              <w:rPr>
                <w:color w:val="FF0000"/>
              </w:rPr>
              <w:t xml:space="preserve">Prohlášení o velikosti projektu (dle vzoru na </w:t>
            </w:r>
            <w:hyperlink r:id="rId12" w:history="1">
              <w:r>
                <w:rPr>
                  <w:rStyle w:val="Hypertextovodkaz"/>
                </w:rPr>
                <w:t xml:space="preserve">MAS Lanškrounsko, z.s. </w:t>
              </w:r>
              <w:proofErr w:type="gramStart"/>
              <w:r>
                <w:rPr>
                  <w:rStyle w:val="Hypertextovodkaz"/>
                </w:rPr>
                <w:t>» Technologie</w:t>
              </w:r>
              <w:proofErr w:type="gramEnd"/>
              <w:r>
                <w:rPr>
                  <w:rStyle w:val="Hypertextovodkaz"/>
                </w:rPr>
                <w:t xml:space="preserve"> a aplikace pro konkurenceschopnost (maslanskrounsko.cz)</w:t>
              </w:r>
            </w:hyperlink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69D8D4EE" w:rsidR="00991E7D" w:rsidRPr="00A77211" w:rsidRDefault="00A566BE" w:rsidP="00755FF3">
            <w:r>
              <w:rPr>
                <w:color w:val="FF0000"/>
              </w:rPr>
              <w:t xml:space="preserve">Podnikatelský záměr (dle vzoru na </w:t>
            </w:r>
            <w:hyperlink r:id="rId13" w:history="1">
              <w:r>
                <w:rPr>
                  <w:rStyle w:val="Hypertextovodkaz"/>
                </w:rPr>
                <w:t xml:space="preserve">MAS Lanškrounsko, z.s. </w:t>
              </w:r>
              <w:proofErr w:type="gramStart"/>
              <w:r>
                <w:rPr>
                  <w:rStyle w:val="Hypertextovodkaz"/>
                </w:rPr>
                <w:t>» Technologie</w:t>
              </w:r>
              <w:proofErr w:type="gramEnd"/>
              <w:r>
                <w:rPr>
                  <w:rStyle w:val="Hypertextovodkaz"/>
                </w:rPr>
                <w:t xml:space="preserve"> a aplikace pro konkurenceschopnost (maslanskrounsko.cz)</w:t>
              </w:r>
            </w:hyperlink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65"/>
        <w:gridCol w:w="6177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1EA4F000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</w:t>
            </w:r>
            <w:r w:rsidR="00A566BE">
              <w:rPr>
                <w:rFonts w:cs="Arial"/>
                <w:bCs/>
                <w:szCs w:val="20"/>
              </w:rPr>
              <w:t>jednatele/</w:t>
            </w:r>
            <w:r w:rsidR="00991E7D">
              <w:rPr>
                <w:rFonts w:cs="Arial"/>
                <w:bCs/>
                <w:szCs w:val="20"/>
              </w:rPr>
              <w:t>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44EDA" w14:textId="77777777" w:rsidR="00A3782A" w:rsidRDefault="00A3782A" w:rsidP="00DC4000">
      <w:pPr>
        <w:spacing w:after="0" w:line="240" w:lineRule="auto"/>
      </w:pPr>
      <w:r>
        <w:separator/>
      </w:r>
    </w:p>
  </w:endnote>
  <w:endnote w:type="continuationSeparator" w:id="0">
    <w:p w14:paraId="4D65EABD" w14:textId="77777777" w:rsidR="00A3782A" w:rsidRDefault="00A3782A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d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7A70EC" w14:textId="77777777" w:rsidR="00A3782A" w:rsidRDefault="00A3782A" w:rsidP="00DC4000">
      <w:pPr>
        <w:spacing w:after="0" w:line="240" w:lineRule="auto"/>
      </w:pPr>
      <w:r>
        <w:separator/>
      </w:r>
    </w:p>
  </w:footnote>
  <w:footnote w:type="continuationSeparator" w:id="0">
    <w:p w14:paraId="0180F3AC" w14:textId="77777777" w:rsidR="00A3782A" w:rsidRDefault="00A3782A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5463BBC3" w:rsidR="00DC4000" w:rsidRDefault="00915B6F">
    <w:pPr>
      <w:pStyle w:val="Zhlav"/>
    </w:pPr>
    <w:r>
      <w:rPr>
        <w:noProof/>
      </w:rPr>
      <w:drawing>
        <wp:inline distT="0" distB="0" distL="0" distR="0" wp14:anchorId="4E694CE2" wp14:editId="5D86AFAA">
          <wp:extent cx="2727960" cy="382793"/>
          <wp:effectExtent l="0" t="0" r="0" b="0"/>
          <wp:docPr id="15937650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765087" name="Obrázek 15937650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9943" cy="392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20AC">
      <w:t xml:space="preserve">             </w:t>
    </w:r>
    <w:r>
      <w:rPr>
        <w:noProof/>
      </w:rPr>
      <w:drawing>
        <wp:inline distT="0" distB="0" distL="0" distR="0" wp14:anchorId="1126FC36" wp14:editId="7ADF3B19">
          <wp:extent cx="865898" cy="353060"/>
          <wp:effectExtent l="0" t="0" r="0" b="8890"/>
          <wp:docPr id="170122083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1220835" name="Obrázek 170122083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4746" cy="360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20AC">
      <w:t xml:space="preserve">                               </w:t>
    </w:r>
    <w:r w:rsidR="00ED2126">
      <w:rPr>
        <w:noProof/>
      </w:rPr>
      <w:drawing>
        <wp:inline distT="0" distB="0" distL="0" distR="0" wp14:anchorId="421F3A3D" wp14:editId="0246AC65">
          <wp:extent cx="739140" cy="429282"/>
          <wp:effectExtent l="0" t="0" r="3810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26" cy="44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228D5"/>
    <w:multiLevelType w:val="hybridMultilevel"/>
    <w:tmpl w:val="DF14B642"/>
    <w:lvl w:ilvl="0" w:tplc="D04EC2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7448D"/>
    <w:multiLevelType w:val="hybridMultilevel"/>
    <w:tmpl w:val="7D92B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881237">
    <w:abstractNumId w:val="1"/>
  </w:num>
  <w:num w:numId="2" w16cid:durableId="17699833">
    <w:abstractNumId w:val="2"/>
  </w:num>
  <w:num w:numId="3" w16cid:durableId="471337076">
    <w:abstractNumId w:val="0"/>
  </w:num>
  <w:num w:numId="4" w16cid:durableId="1771778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56B0C"/>
    <w:rsid w:val="00106565"/>
    <w:rsid w:val="001115D4"/>
    <w:rsid w:val="00117535"/>
    <w:rsid w:val="001704A1"/>
    <w:rsid w:val="00174A6F"/>
    <w:rsid w:val="001901E4"/>
    <w:rsid w:val="00193A7C"/>
    <w:rsid w:val="00211D24"/>
    <w:rsid w:val="0023690F"/>
    <w:rsid w:val="00260C35"/>
    <w:rsid w:val="002749EF"/>
    <w:rsid w:val="002B1006"/>
    <w:rsid w:val="002B6755"/>
    <w:rsid w:val="002E7863"/>
    <w:rsid w:val="00302B62"/>
    <w:rsid w:val="00331076"/>
    <w:rsid w:val="00351DDA"/>
    <w:rsid w:val="003666F0"/>
    <w:rsid w:val="003700F4"/>
    <w:rsid w:val="003B23DB"/>
    <w:rsid w:val="003E3109"/>
    <w:rsid w:val="003E4E8C"/>
    <w:rsid w:val="00425488"/>
    <w:rsid w:val="00446298"/>
    <w:rsid w:val="00455349"/>
    <w:rsid w:val="004A70A7"/>
    <w:rsid w:val="004D7A8D"/>
    <w:rsid w:val="004E36F2"/>
    <w:rsid w:val="004E4B1D"/>
    <w:rsid w:val="00566AB1"/>
    <w:rsid w:val="00583387"/>
    <w:rsid w:val="00586900"/>
    <w:rsid w:val="005C4488"/>
    <w:rsid w:val="005D7A9B"/>
    <w:rsid w:val="00630675"/>
    <w:rsid w:val="00647584"/>
    <w:rsid w:val="0068559F"/>
    <w:rsid w:val="006C580A"/>
    <w:rsid w:val="006E6251"/>
    <w:rsid w:val="006F747F"/>
    <w:rsid w:val="00711C6F"/>
    <w:rsid w:val="00726F7F"/>
    <w:rsid w:val="0074625F"/>
    <w:rsid w:val="00756F8E"/>
    <w:rsid w:val="00782E5D"/>
    <w:rsid w:val="007D1E1A"/>
    <w:rsid w:val="007D20AC"/>
    <w:rsid w:val="00806654"/>
    <w:rsid w:val="00857B1A"/>
    <w:rsid w:val="008C6FB6"/>
    <w:rsid w:val="008D2D37"/>
    <w:rsid w:val="00914852"/>
    <w:rsid w:val="00915B6F"/>
    <w:rsid w:val="00941E18"/>
    <w:rsid w:val="00991E7D"/>
    <w:rsid w:val="009D6026"/>
    <w:rsid w:val="00A3782A"/>
    <w:rsid w:val="00A566BE"/>
    <w:rsid w:val="00A67891"/>
    <w:rsid w:val="00A77211"/>
    <w:rsid w:val="00AB5CA2"/>
    <w:rsid w:val="00AC004D"/>
    <w:rsid w:val="00AD74BE"/>
    <w:rsid w:val="00AF5425"/>
    <w:rsid w:val="00B052F2"/>
    <w:rsid w:val="00B114C0"/>
    <w:rsid w:val="00B2672F"/>
    <w:rsid w:val="00BA3A50"/>
    <w:rsid w:val="00BA5D28"/>
    <w:rsid w:val="00BB3C51"/>
    <w:rsid w:val="00C13769"/>
    <w:rsid w:val="00C566ED"/>
    <w:rsid w:val="00C973FA"/>
    <w:rsid w:val="00C97923"/>
    <w:rsid w:val="00D45BB5"/>
    <w:rsid w:val="00D62762"/>
    <w:rsid w:val="00D65CEA"/>
    <w:rsid w:val="00DC2F44"/>
    <w:rsid w:val="00DC4000"/>
    <w:rsid w:val="00DE4122"/>
    <w:rsid w:val="00E16183"/>
    <w:rsid w:val="00E95273"/>
    <w:rsid w:val="00E959D9"/>
    <w:rsid w:val="00EC4BBC"/>
    <w:rsid w:val="00ED2126"/>
    <w:rsid w:val="00ED5CC1"/>
    <w:rsid w:val="00EE2FFD"/>
    <w:rsid w:val="00EF18AB"/>
    <w:rsid w:val="00F0432E"/>
    <w:rsid w:val="00F379D1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table" w:customStyle="1" w:styleId="TableGrid">
    <w:name w:val="TableGrid"/>
    <w:rsid w:val="007D20AC"/>
    <w:pPr>
      <w:spacing w:after="0" w:line="240" w:lineRule="auto"/>
    </w:pPr>
    <w:rPr>
      <w:rFonts w:eastAsiaTheme="minorEastAsia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aslanskrounsko.cz/dotacni-moznosti/technologie-a-konkurenceschopnos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lanskrounsko.cz/dotacni-moznosti/technologie-a-konkurenceschopnos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ptak.gov.cz/technologie-pro-mas-clld-vyzva-ii/a-610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maslanskrounsko.cz/dotacni-moznosti/technologie-a-konkurenceschopno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978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Radka Šťovíčková</cp:lastModifiedBy>
  <cp:revision>4</cp:revision>
  <cp:lastPrinted>2023-04-04T11:28:00Z</cp:lastPrinted>
  <dcterms:created xsi:type="dcterms:W3CDTF">2026-05-07T07:11:00Z</dcterms:created>
  <dcterms:modified xsi:type="dcterms:W3CDTF">2026-05-21T12:16:00Z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